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96.png" ContentType="image/png"/>
  <Override PartName="/word/media/rId100.png" ContentType="image/png"/>
  <Override PartName="/word/media/rId104.png" ContentType="image/png"/>
  <Override PartName="/word/media/rId108.png" ContentType="image/png"/>
  <Override PartName="/word/media/rId52.png" ContentType="image/png"/>
  <Override PartName="/word/media/rId56.png" ContentType="image/png"/>
  <Override PartName="/word/media/rId92.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w:t>
      </w:r>
      <w:r>
        <w:t xml:space="preserve"> </w:t>
      </w:r>
      <w:r>
        <w:rPr>
          <w:bCs/>
          <w:b/>
        </w:rPr>
        <w:t xml:space="preserve">Pierce2021?</w:t>
      </w:r>
      <w:r>
        <w:t xml:space="preserve">)</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varinace and publication year</w:t>
      </w:r>
      <w:r>
        <w:t xml:space="preserve"> </w:t>
      </w:r>
      <w:r>
        <w:t xml:space="preserve">(Nakagawa</w:t>
      </w:r>
      <w:r>
        <w:t xml:space="preserve"> </w:t>
      </w:r>
      <w:r>
        <w:rPr>
          <w:iCs/>
          <w:i/>
        </w:rPr>
        <w:t xml:space="preserve">et al.</w:t>
      </w:r>
      <w:r>
        <w:t xml:space="preserve"> </w:t>
      </w:r>
      <w:r>
        <w:t xml:space="preserve">2021b)</w:t>
      </w:r>
      <w:r>
        <w:t xml:space="preserve">. Funnel plot asymetry may suggest a</w:t>
      </w:r>
      <w:r>
        <w:t xml:space="preserve"> </w:t>
      </w:r>
      <w:r>
        <w:t xml:space="preserve">‘</w:t>
      </w:r>
      <w:r>
        <w:t xml:space="preserve">file-drawer</w:t>
      </w:r>
      <w:r>
        <w:t xml:space="preserve">’</w:t>
      </w:r>
      <w:r>
        <w:t xml:space="preserve"> </w:t>
      </w:r>
      <w:r>
        <w:t xml:space="preserve">form of publication bias whereby low-powered studies are less likely to be published. However, asymetry can also result form high hetereogenity. As such, testing (and correcting) for publication bias using a meta-regression approach can attempt to counteract bias that maybe driven by high hetereogneity. In addition, time-lag bias is very common, whereby effect magnitude declines through time with the publication of more studies, often of higher power</w:t>
      </w:r>
      <w:r>
        <w:t xml:space="preserve"> </w:t>
      </w:r>
      <w:r>
        <w:t xml:space="preserve">(Yang</w:t>
      </w:r>
      <w:r>
        <w:t xml:space="preserve"> </w:t>
      </w:r>
      <w:r>
        <w:rPr>
          <w:iCs/>
          <w:i/>
        </w:rPr>
        <w:t xml:space="preserve">et al.</w:t>
      </w:r>
      <w:r>
        <w:t xml:space="preserve"> </w:t>
      </w:r>
      <w:r>
        <w:t xml:space="preserve">2022)</w:t>
      </w:r>
      <w:r>
        <w:t xml:space="preserve">.</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1"/>
    <w:bookmarkStart w:id="60"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 lnRR 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096000" cy="4876800"/>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 lnRR 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1" w:name="references"/>
    <w:p>
      <w:pPr>
        <w:pStyle w:val="Heading2"/>
      </w:pPr>
      <w:r>
        <w:t xml:space="preserve">References</w:t>
      </w:r>
    </w:p>
    <w:p>
      <w:pPr>
        <w:pStyle w:val="FirstParagraph"/>
      </w:pPr>
    </w:p>
    <w:bookmarkStart w:id="90"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4"/>
    <w:bookmarkStart w:id="75"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5"/>
    <w:bookmarkStart w:id="76"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6"/>
    <w:bookmarkStart w:id="77"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7"/>
    <w:bookmarkStart w:id="78"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8"/>
    <w:bookmarkStart w:id="79"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79"/>
    <w:bookmarkStart w:id="80"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0"/>
    <w:bookmarkStart w:id="81"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1"/>
    <w:bookmarkStart w:id="82"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2"/>
    <w:bookmarkStart w:id="83"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3"/>
    <w:bookmarkStart w:id="84"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4"/>
    <w:bookmarkStart w:id="85"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5"/>
    <w:bookmarkStart w:id="86"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6"/>
    <w:bookmarkStart w:id="87"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7"/>
    <w:bookmarkStart w:id="88" w:name="ref-Yang2022-qw"/>
    <w:p>
      <w:pPr>
        <w:pStyle w:val="Bibliography"/>
      </w:pPr>
      <w:r>
        <w:t xml:space="preserve">Yang, Y., Sánchez-Tójar, A., O’Dea, R.E., Noble, D.W.A.,</w:t>
      </w:r>
      <w:r>
        <w:t xml:space="preserve"> </w:t>
      </w:r>
      <w:r>
        <w:rPr>
          <w:iCs/>
          <w:i/>
        </w:rPr>
        <w:t xml:space="preserve">et al.</w:t>
      </w:r>
      <w:r>
        <w:t xml:space="preserve"> (2022). Publication bias impacts on effect size, statistical power, and magnitude (type m) and sign (type s) errors in ecology and evolutionary biology.</w:t>
      </w:r>
    </w:p>
    <w:bookmarkEnd w:id="88"/>
    <w:bookmarkStart w:id="89"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89"/>
    <w:bookmarkEnd w:id="90"/>
    <w:p>
      <w:pPr>
        <w:pStyle w:val="BodyText"/>
      </w:pPr>
    </w:p>
    <w:bookmarkEnd w:id="91"/>
    <w:bookmarkStart w:id="112" w:name="supplemental-results-and-figures"/>
    <w:p>
      <w:pPr>
        <w:pStyle w:val="Heading2"/>
      </w:pPr>
      <w:r>
        <w:t xml:space="preserve">Supplemental Results and Figures</w:t>
      </w:r>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lnvr">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95" w:name="fig-lnvr"/>
          <w:p>
            <w:pPr>
              <w:pStyle w:val="Figure"/>
              <w:jc w:val="center"/>
            </w:pPr>
            <w:r>
              <w:drawing>
                <wp:inline>
                  <wp:extent cx="6680200" cy="4647095"/>
                  <wp:effectExtent b="0" l="0" r="0" t="0"/>
                  <wp:docPr descr="" title="" id="93" name="Picture"/>
                  <a:graphic>
                    <a:graphicData uri="http://schemas.openxmlformats.org/drawingml/2006/picture">
                      <pic:pic>
                        <pic:nvPicPr>
                          <pic:cNvPr descr="ms_files/figure-docx/fig-lnvr-1.png" id="94" name="Picture"/>
                          <pic:cNvPicPr>
                            <a:picLocks noChangeArrowheads="1" noChangeAspect="1"/>
                          </pic:cNvPicPr>
                        </pic:nvPicPr>
                        <pic:blipFill>
                          <a:blip r:embed="rId92"/>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 w:name="fig-fig4"/>
          <w:p>
            <w:pPr>
              <w:pStyle w:val="Figure"/>
              <w:jc w:val="center"/>
            </w:pPr>
            <w:r>
              <w:drawing>
                <wp:inline>
                  <wp:extent cx="6096000" cy="4876800"/>
                  <wp:effectExtent b="0" l="0" r="0" t="0"/>
                  <wp:docPr descr="" title="" id="97" name="Picture"/>
                  <a:graphic>
                    <a:graphicData uri="http://schemas.openxmlformats.org/drawingml/2006/picture">
                      <pic:pic>
                        <pic:nvPicPr>
                          <pic:cNvPr descr="ms_files/figure-docx/fig-fig4-1.png" id="98" name="Picture"/>
                          <pic:cNvPicPr>
                            <a:picLocks noChangeArrowheads="1" noChangeAspect="1"/>
                          </pic:cNvPicPr>
                        </pic:nvPicPr>
                        <pic:blipFill>
                          <a:blip r:embed="rId96"/>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 w:name="fig-fig5"/>
          <w:p>
            <w:pPr>
              <w:pStyle w:val="Figure"/>
              <w:jc w:val="center"/>
            </w:pPr>
            <w:r>
              <w:drawing>
                <wp:inline>
                  <wp:extent cx="6096000" cy="4876800"/>
                  <wp:effectExtent b="0" l="0" r="0" t="0"/>
                  <wp:docPr descr="" title="" id="101" name="Picture"/>
                  <a:graphic>
                    <a:graphicData uri="http://schemas.openxmlformats.org/drawingml/2006/picture">
                      <pic:pic>
                        <pic:nvPicPr>
                          <pic:cNvPr descr="ms_files/figure-docx/fig-fig5-1.png" id="102" name="Picture"/>
                          <pic:cNvPicPr>
                            <a:picLocks noChangeArrowheads="1" noChangeAspect="1"/>
                          </pic:cNvPicPr>
                        </pic:nvPicPr>
                        <pic:blipFill>
                          <a:blip r:embed="rId100"/>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 lnCVR</w:t>
            </w:r>
          </w:p>
          <w:bookmarkEnd w:id="1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7" w:name="fig-fig6"/>
          <w:p>
            <w:pPr>
              <w:pStyle w:val="Figure"/>
              <w:jc w:val="center"/>
            </w:pPr>
            <w:r>
              <w:drawing>
                <wp:inline>
                  <wp:extent cx="6096000" cy="4876800"/>
                  <wp:effectExtent b="0" l="0" r="0" t="0"/>
                  <wp:docPr descr="" title="" id="105" name="Picture"/>
                  <a:graphic>
                    <a:graphicData uri="http://schemas.openxmlformats.org/drawingml/2006/picture">
                      <pic:pic>
                        <pic:nvPicPr>
                          <pic:cNvPr descr="ms_files/figure-docx/fig-fig6-1.png" id="106" name="Picture"/>
                          <pic:cNvPicPr>
                            <a:picLocks noChangeArrowheads="1" noChangeAspect="1"/>
                          </pic:cNvPicPr>
                        </pic:nvPicPr>
                        <pic:blipFill>
                          <a:blip r:embed="rId104"/>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Bubble plot environment lnRR wild populations</w:t>
            </w:r>
          </w:p>
          <w:bookmarkEnd w:id="1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1" w:name="fig-fig7"/>
          <w:p>
            <w:pPr>
              <w:pStyle w:val="Figure"/>
              <w:jc w:val="center"/>
            </w:pPr>
            <w:r>
              <w:drawing>
                <wp:inline>
                  <wp:extent cx="6096000" cy="4876800"/>
                  <wp:effectExtent b="0" l="0" r="0" t="0"/>
                  <wp:docPr descr="" title="" id="109" name="Picture"/>
                  <a:graphic>
                    <a:graphicData uri="http://schemas.openxmlformats.org/drawingml/2006/picture">
                      <pic:pic>
                        <pic:nvPicPr>
                          <pic:cNvPr descr="ms_files/figure-docx/fig-fig7-1.png" id="110" name="Picture"/>
                          <pic:cNvPicPr>
                            <a:picLocks noChangeArrowheads="1" noChangeAspect="1"/>
                          </pic:cNvPicPr>
                        </pic:nvPicPr>
                        <pic:blipFill>
                          <a:blip r:embed="rId108"/>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Bubble plot environment lnCVR wild populations</w:t>
            </w:r>
          </w:p>
          <w:bookmarkEnd w:id="111"/>
        </w:tc>
      </w:tr>
    </w:tbl>
    <w:bookmarkEnd w:id="112"/>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2" Target="media/rId9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2023-03-17T00:31:54Z</dcterms:created>
  <dcterms:modified xsi:type="dcterms:W3CDTF">2023-03-17T00:31:54Z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